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66DF">
      <w:pPr>
        <w:tabs>
          <w:tab w:val="left" w:pos="8640"/>
        </w:tabs>
        <w:adjustRightInd w:val="0"/>
        <w:snapToGrid w:val="0"/>
        <w:spacing w:line="640" w:lineRule="exact"/>
        <w:jc w:val="center"/>
        <w:rPr>
          <w:rFonts w:ascii="方正小标宋简体" w:eastAsia="方正小标宋简体"/>
          <w:bCs/>
          <w:sz w:val="44"/>
          <w:szCs w:val="44"/>
          <w:lang w:val="en-US"/>
        </w:rPr>
      </w:pPr>
      <w:r>
        <w:rPr>
          <w:rFonts w:hint="eastAsia" w:ascii="方正小标宋简体" w:eastAsia="方正小标宋简体"/>
          <w:bCs/>
          <w:sz w:val="44"/>
          <w:szCs w:val="44"/>
        </w:rPr>
        <w:t>“揭榜挂帅”</w:t>
      </w:r>
      <w:r>
        <w:rPr>
          <w:rFonts w:hint="eastAsia" w:ascii="方正小标宋简体" w:eastAsia="方正小标宋简体"/>
          <w:bCs/>
          <w:sz w:val="44"/>
          <w:szCs w:val="44"/>
          <w:lang w:val="en-US" w:eastAsia="zh-CN"/>
        </w:rPr>
        <w:t>实践命题登记表</w:t>
      </w:r>
    </w:p>
    <w:p w14:paraId="58AD185F">
      <w:pPr>
        <w:tabs>
          <w:tab w:val="left" w:pos="8640"/>
        </w:tabs>
        <w:adjustRightInd w:val="0"/>
        <w:snapToGrid w:val="0"/>
        <w:spacing w:line="560" w:lineRule="exact"/>
        <w:rPr>
          <w:rFonts w:ascii="方正黑体简体" w:eastAsia="方正黑体简体"/>
          <w:bCs/>
          <w:spacing w:val="6"/>
          <w:sz w:val="32"/>
          <w:szCs w:val="32"/>
        </w:rPr>
      </w:pPr>
    </w:p>
    <w:p w14:paraId="0FC213E3">
      <w:pPr>
        <w:numPr>
          <w:ilvl w:val="0"/>
          <w:numId w:val="1"/>
        </w:num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lang w:val="en-US" w:eastAsia="zh-CN"/>
        </w:rPr>
        <w:t>出题方</w:t>
      </w:r>
      <w:r>
        <w:rPr>
          <w:rFonts w:hint="eastAsia" w:ascii="黑体" w:hAnsi="黑体" w:eastAsia="黑体" w:cs="黑体"/>
          <w:bCs/>
          <w:spacing w:val="6"/>
          <w:sz w:val="32"/>
          <w:szCs w:val="32"/>
        </w:rPr>
        <w:t>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1EC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655979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单位</w:t>
            </w:r>
            <w:r>
              <w:rPr>
                <w:rFonts w:hint="eastAsia" w:ascii="仿宋" w:hAnsi="仿宋" w:eastAsia="仿宋" w:cs="仿宋"/>
                <w:sz w:val="28"/>
                <w:szCs w:val="28"/>
                <w:lang w:val="en-US" w:eastAsia="zh-CN"/>
              </w:rPr>
              <w:t>/教师</w:t>
            </w:r>
          </w:p>
        </w:tc>
        <w:tc>
          <w:tcPr>
            <w:tcW w:w="6932" w:type="dxa"/>
            <w:gridSpan w:val="3"/>
            <w:vAlign w:val="center"/>
          </w:tcPr>
          <w:p w14:paraId="1063F4AB">
            <w:pPr>
              <w:keepNext w:val="0"/>
              <w:keepLines w:val="0"/>
              <w:pageBreakBefore w:val="0"/>
              <w:widowControl/>
              <w:kinsoku/>
              <w:wordWrap/>
              <w:overflowPunct/>
              <w:topLinePunct w:val="0"/>
              <w:autoSpaceDE/>
              <w:autoSpaceDN/>
              <w:bidi w:val="0"/>
              <w:snapToGrid/>
              <w:spacing w:line="400" w:lineRule="exact"/>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bCs/>
                <w:spacing w:val="6"/>
                <w:sz w:val="28"/>
                <w:szCs w:val="28"/>
                <w:lang w:val="en-US" w:eastAsia="zh-CN"/>
              </w:rPr>
              <w:t>首都经济贸易大学劳动经济学院魏华颖</w:t>
            </w:r>
          </w:p>
        </w:tc>
      </w:tr>
      <w:tr w14:paraId="4E86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48A0CA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rPr>
              <w:t>单位</w:t>
            </w:r>
            <w:r>
              <w:rPr>
                <w:rFonts w:hint="eastAsia" w:ascii="仿宋" w:hAnsi="仿宋" w:eastAsia="仿宋" w:cs="仿宋"/>
                <w:sz w:val="28"/>
                <w:szCs w:val="28"/>
                <w:lang w:val="en-US" w:eastAsia="zh-CN"/>
              </w:rPr>
              <w:t>/项目</w:t>
            </w:r>
            <w:r>
              <w:rPr>
                <w:rFonts w:hint="eastAsia" w:ascii="仿宋" w:hAnsi="仿宋" w:eastAsia="仿宋" w:cs="仿宋"/>
                <w:sz w:val="28"/>
                <w:szCs w:val="28"/>
              </w:rPr>
              <w:t>简介</w:t>
            </w:r>
          </w:p>
        </w:tc>
        <w:tc>
          <w:tcPr>
            <w:tcW w:w="6932" w:type="dxa"/>
            <w:gridSpan w:val="3"/>
            <w:vAlign w:val="center"/>
          </w:tcPr>
          <w:p w14:paraId="328E81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420" w:lineRule="atLeast"/>
              <w:ind w:left="0" w:right="0" w:firstLine="420"/>
              <w:jc w:val="both"/>
              <w:rPr>
                <w:rFonts w:hint="eastAsia" w:ascii="仿宋" w:hAnsi="仿宋" w:eastAsia="仿宋" w:cs="仿宋"/>
                <w:bCs/>
                <w:spacing w:val="6"/>
                <w:sz w:val="28"/>
                <w:szCs w:val="28"/>
                <w:lang w:val="en-US" w:eastAsia="zh-CN" w:bidi="ar-SA"/>
              </w:rPr>
            </w:pPr>
            <w:r>
              <w:rPr>
                <w:rFonts w:hint="eastAsia" w:ascii="仿宋" w:hAnsi="仿宋" w:eastAsia="仿宋" w:cs="仿宋"/>
                <w:bCs/>
                <w:spacing w:val="6"/>
                <w:sz w:val="28"/>
                <w:szCs w:val="28"/>
                <w:lang w:val="en-US" w:eastAsia="zh-CN" w:bidi="ar-SA"/>
              </w:rPr>
              <w:t>劳动经济学院前身为1956年设立的北京劳动干部学校劳动经济班。1958年，北京劳动学院在北京劳动干部学校劳动经济班基础上建立劳动经济系。2000年，学院在学校原有劳动经济系以及人口经济研究所基础上成立。</w:t>
            </w:r>
          </w:p>
          <w:p w14:paraId="50A00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420" w:lineRule="atLeast"/>
              <w:ind w:left="0" w:right="0" w:firstLine="420"/>
              <w:jc w:val="both"/>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bidi="ar-SA"/>
              </w:rPr>
              <w:t>学院有应用经济学博士后流动站1个；二级学科博士学位授权点4个：劳动经济学、人力资源开发与人才发展、劳动关系、人口资源与环境经济学；二级学科硕士学位授权点6个：劳动经济学、社会保障学、人口资源与环境经济学、人力资源开发与人才发展、劳动关系、社会工作专业硕士；本科专业5个：人力资源管理、劳动与社会保障、劳动经济学、社会工作、劳动关系。</w:t>
            </w:r>
          </w:p>
        </w:tc>
      </w:tr>
      <w:tr w14:paraId="1070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B93AD5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bCs/>
                <w:spacing w:val="6"/>
                <w:sz w:val="28"/>
                <w:szCs w:val="28"/>
              </w:rPr>
            </w:pPr>
            <w:r>
              <w:rPr>
                <w:rFonts w:hint="eastAsia" w:ascii="仿宋" w:hAnsi="仿宋" w:eastAsia="仿宋" w:cs="仿宋"/>
                <w:sz w:val="28"/>
                <w:szCs w:val="28"/>
                <w:lang w:val="en-US"/>
              </w:rPr>
              <w:t>联系人</w:t>
            </w:r>
          </w:p>
        </w:tc>
        <w:tc>
          <w:tcPr>
            <w:tcW w:w="3076" w:type="dxa"/>
            <w:vAlign w:val="center"/>
          </w:tcPr>
          <w:p w14:paraId="2CF70CAF">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李子昂</w:t>
            </w:r>
          </w:p>
        </w:tc>
        <w:tc>
          <w:tcPr>
            <w:tcW w:w="1073" w:type="dxa"/>
            <w:vAlign w:val="center"/>
          </w:tcPr>
          <w:p w14:paraId="3B7A070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手机</w:t>
            </w:r>
          </w:p>
        </w:tc>
        <w:tc>
          <w:tcPr>
            <w:tcW w:w="2783" w:type="dxa"/>
            <w:vAlign w:val="center"/>
          </w:tcPr>
          <w:p w14:paraId="1CACB5A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仿宋" w:hAnsi="仿宋" w:eastAsia="仿宋" w:cs="仿宋"/>
                <w:sz w:val="28"/>
                <w:szCs w:val="28"/>
              </w:rPr>
            </w:pPr>
            <w:r>
              <w:rPr>
                <w:rFonts w:hint="eastAsia" w:ascii="仿宋" w:hAnsi="仿宋" w:eastAsia="仿宋" w:cs="仿宋"/>
                <w:sz w:val="28"/>
                <w:szCs w:val="28"/>
              </w:rPr>
              <w:t>15911046933</w:t>
            </w:r>
          </w:p>
        </w:tc>
      </w:tr>
    </w:tbl>
    <w:p w14:paraId="0BBC3543">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二、选题说明</w:t>
      </w:r>
    </w:p>
    <w:tbl>
      <w:tblPr>
        <w:tblStyle w:val="5"/>
        <w:tblW w:w="8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87"/>
        <w:gridCol w:w="6724"/>
      </w:tblGrid>
      <w:tr w14:paraId="5A66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tcBorders>
              <w:tl2br w:val="nil"/>
              <w:tr2bl w:val="nil"/>
            </w:tcBorders>
            <w:shd w:val="clear" w:color="auto" w:fill="FFFFFF"/>
            <w:vAlign w:val="center"/>
          </w:tcPr>
          <w:p w14:paraId="5A39272D">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题目</w:t>
            </w:r>
          </w:p>
        </w:tc>
        <w:tc>
          <w:tcPr>
            <w:tcW w:w="6724" w:type="dxa"/>
            <w:tcBorders>
              <w:tl2br w:val="nil"/>
              <w:tr2bl w:val="nil"/>
            </w:tcBorders>
            <w:shd w:val="clear" w:color="auto" w:fill="FFFFFF"/>
            <w:vAlign w:val="center"/>
          </w:tcPr>
          <w:p w14:paraId="47724F38">
            <w:pPr>
              <w:keepNext w:val="0"/>
              <w:keepLines w:val="0"/>
              <w:pageBreakBefore w:val="0"/>
              <w:widowControl/>
              <w:kinsoku/>
              <w:wordWrap/>
              <w:overflowPunct/>
              <w:topLinePunct w:val="0"/>
              <w:autoSpaceDE/>
              <w:autoSpaceDN/>
              <w:bidi w:val="0"/>
              <w:adjustRightInd w:val="0"/>
              <w:spacing w:line="440" w:lineRule="exact"/>
              <w:jc w:val="center"/>
              <w:textAlignment w:val="auto"/>
              <w:rPr>
                <w:rFonts w:eastAsia="仿宋_GB2312"/>
                <w:color w:val="000000"/>
                <w:sz w:val="28"/>
                <w:szCs w:val="22"/>
              </w:rPr>
            </w:pPr>
            <w:r>
              <w:rPr>
                <w:rFonts w:eastAsia="仿宋_GB2312"/>
                <w:color w:val="000000"/>
                <w:sz w:val="28"/>
                <w:szCs w:val="22"/>
              </w:rPr>
              <w:t>大数据视域下</w:t>
            </w:r>
            <w:r>
              <w:rPr>
                <w:rFonts w:hint="eastAsia" w:eastAsia="仿宋_GB2312"/>
                <w:color w:val="000000"/>
                <w:sz w:val="28"/>
                <w:szCs w:val="22"/>
                <w:lang w:val="en-US" w:eastAsia="zh-CN"/>
              </w:rPr>
              <w:t>世界重要人才中心和创新高地</w:t>
            </w:r>
            <w:r>
              <w:rPr>
                <w:rFonts w:eastAsia="仿宋_GB2312"/>
                <w:color w:val="000000"/>
                <w:sz w:val="28"/>
                <w:szCs w:val="22"/>
              </w:rPr>
              <w:t>的</w:t>
            </w:r>
          </w:p>
          <w:p w14:paraId="001C8D2F">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eastAsia" w:ascii="仿宋" w:hAnsi="仿宋" w:eastAsia="仿宋" w:cs="仿宋"/>
                <w:sz w:val="28"/>
                <w:szCs w:val="28"/>
                <w:lang w:val="en-US" w:eastAsia="zh-CN"/>
              </w:rPr>
            </w:pPr>
            <w:r>
              <w:rPr>
                <w:rFonts w:eastAsia="仿宋_GB2312"/>
                <w:color w:val="000000"/>
                <w:sz w:val="28"/>
                <w:szCs w:val="22"/>
              </w:rPr>
              <w:t>时空演变</w:t>
            </w:r>
            <w:r>
              <w:rPr>
                <w:rFonts w:hint="eastAsia" w:eastAsia="仿宋_GB2312"/>
                <w:color w:val="000000"/>
                <w:sz w:val="28"/>
                <w:szCs w:val="22"/>
                <w:lang w:val="en-US" w:eastAsia="zh-CN"/>
              </w:rPr>
              <w:t>规律</w:t>
            </w:r>
          </w:p>
        </w:tc>
      </w:tr>
      <w:tr w14:paraId="6D2CE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87" w:type="dxa"/>
            <w:tcBorders>
              <w:tl2br w:val="nil"/>
              <w:tr2bl w:val="nil"/>
            </w:tcBorders>
            <w:shd w:val="clear" w:color="auto" w:fill="FFFFFF"/>
            <w:vAlign w:val="center"/>
          </w:tcPr>
          <w:p w14:paraId="52250099">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题目介绍</w:t>
            </w:r>
          </w:p>
        </w:tc>
        <w:tc>
          <w:tcPr>
            <w:tcW w:w="6724" w:type="dxa"/>
            <w:tcBorders>
              <w:tl2br w:val="nil"/>
              <w:tr2bl w:val="nil"/>
            </w:tcBorders>
            <w:shd w:val="clear" w:color="auto" w:fill="FFFFFF"/>
            <w:vAlign w:val="center"/>
          </w:tcPr>
          <w:p w14:paraId="5FE5AB14">
            <w:pPr>
              <w:ind w:firstLine="584" w:firstLineChars="200"/>
              <w:rPr>
                <w:rFonts w:hint="eastAsia" w:ascii="仿宋" w:hAnsi="仿宋" w:eastAsia="仿宋" w:cs="仿宋"/>
                <w:bCs/>
                <w:spacing w:val="6"/>
                <w:sz w:val="28"/>
                <w:szCs w:val="28"/>
                <w:lang w:val="en-US" w:eastAsia="zh-CN" w:bidi="ar-SA"/>
              </w:rPr>
            </w:pPr>
            <w:r>
              <w:rPr>
                <w:rFonts w:hint="eastAsia" w:ascii="仿宋" w:hAnsi="仿宋" w:eastAsia="仿宋" w:cs="仿宋"/>
                <w:bCs/>
                <w:spacing w:val="6"/>
                <w:sz w:val="28"/>
                <w:szCs w:val="28"/>
                <w:lang w:val="en-US" w:eastAsia="zh-CN" w:bidi="ar-SA"/>
              </w:rPr>
              <w:t>16世纪以来，全球先后形成了意大利、英国、法国、德国、美国五个科学和人才中心，创新中心也完成了由西欧向北美的转移。面向未来的国际格局和国家发展环境，只有实现更高质量的科技人才集聚，才能催生原创性创新、顶尖科技公司和战略新兴产业，才能建成世界创新高地并引领21世纪的全球发展。</w:t>
            </w:r>
          </w:p>
          <w:p w14:paraId="256A9B7C">
            <w:pPr>
              <w:ind w:firstLine="584" w:firstLineChars="200"/>
              <w:rPr>
                <w:rFonts w:hint="default" w:ascii="仿宋" w:hAnsi="仿宋" w:eastAsia="仿宋" w:cs="仿宋"/>
                <w:bCs/>
                <w:spacing w:val="6"/>
                <w:sz w:val="28"/>
                <w:szCs w:val="28"/>
                <w:lang w:val="en-US" w:eastAsia="zh-CN" w:bidi="ar-SA"/>
              </w:rPr>
            </w:pPr>
            <w:r>
              <w:rPr>
                <w:rFonts w:hint="eastAsia" w:ascii="仿宋" w:hAnsi="仿宋" w:eastAsia="仿宋" w:cs="仿宋"/>
                <w:bCs/>
                <w:spacing w:val="6"/>
                <w:sz w:val="28"/>
                <w:szCs w:val="28"/>
                <w:lang w:val="en-US" w:eastAsia="zh-CN" w:bidi="ar-SA"/>
              </w:rPr>
              <w:t>本课题依据获取的全球科技人才大数据，第一部分基于科技人才的规模、结构、质量、适配度、创新和经济效能等方面采用熵权TOPSIS法构建世界重要人才中心和创新高地评价指标体系，实现对各地区科技人才集聚水平与创新水平的测算与评价，进行国别比较与异质性分析；第二部分根据测算的各国科技人才集聚与创新水平，刻画世界重要人才中心和创新高地发展的时空演变规律并进行解释分析，探究全球科技人才集聚的溢出效应，为优化引聚生态提供重要数据支撑。</w:t>
            </w:r>
          </w:p>
          <w:p w14:paraId="5A74ABD3">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Cs/>
                <w:spacing w:val="6"/>
                <w:sz w:val="28"/>
                <w:szCs w:val="28"/>
                <w:lang w:val="en-US" w:eastAsia="zh-CN"/>
              </w:rPr>
            </w:pPr>
          </w:p>
        </w:tc>
      </w:tr>
      <w:tr w14:paraId="4E3C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87" w:type="dxa"/>
            <w:tcBorders>
              <w:right w:val="single" w:color="auto" w:sz="4" w:space="0"/>
              <w:tl2br w:val="nil"/>
              <w:tr2bl w:val="nil"/>
            </w:tcBorders>
            <w:shd w:val="clear" w:color="auto" w:fill="FFFFFF"/>
            <w:vAlign w:val="center"/>
          </w:tcPr>
          <w:p w14:paraId="0D5D543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最终成果</w:t>
            </w:r>
            <w:r>
              <w:rPr>
                <w:rFonts w:hint="eastAsia" w:ascii="仿宋" w:hAnsi="仿宋" w:eastAsia="仿宋" w:cs="仿宋"/>
                <w:sz w:val="28"/>
                <w:szCs w:val="28"/>
              </w:rPr>
              <w:t>要求</w:t>
            </w:r>
          </w:p>
        </w:tc>
        <w:tc>
          <w:tcPr>
            <w:tcW w:w="672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A7B5D1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仿宋_GB2312"/>
                <w:color w:val="000000"/>
                <w:sz w:val="28"/>
                <w:szCs w:val="22"/>
                <w:lang w:val="en-US" w:eastAsia="zh-CN"/>
              </w:rPr>
            </w:pPr>
            <w:r>
              <w:rPr>
                <w:rFonts w:hint="eastAsia" w:eastAsia="仿宋_GB2312"/>
                <w:color w:val="000000"/>
                <w:sz w:val="28"/>
                <w:szCs w:val="22"/>
                <w:lang w:val="en-US" w:eastAsia="zh-CN"/>
              </w:rPr>
              <w:t>建议根据题目介绍内容要求完成</w:t>
            </w:r>
          </w:p>
          <w:p w14:paraId="3FF4C7EC">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eastAsia="仿宋_GB2312"/>
                <w:color w:val="000000"/>
                <w:sz w:val="28"/>
                <w:szCs w:val="22"/>
                <w:lang w:val="en-US" w:eastAsia="zh-CN"/>
              </w:rPr>
              <w:t>《</w:t>
            </w:r>
            <w:r>
              <w:rPr>
                <w:rFonts w:eastAsia="仿宋_GB2312"/>
                <w:color w:val="000000"/>
                <w:sz w:val="28"/>
                <w:szCs w:val="22"/>
              </w:rPr>
              <w:t>大数据视域下</w:t>
            </w:r>
            <w:r>
              <w:rPr>
                <w:rFonts w:hint="eastAsia" w:eastAsia="仿宋_GB2312"/>
                <w:color w:val="000000"/>
                <w:sz w:val="28"/>
                <w:szCs w:val="22"/>
                <w:lang w:val="en-US" w:eastAsia="zh-CN"/>
              </w:rPr>
              <w:t>世界重要人才中心和创新高地</w:t>
            </w:r>
            <w:r>
              <w:rPr>
                <w:rFonts w:eastAsia="仿宋_GB2312"/>
                <w:color w:val="000000"/>
                <w:sz w:val="28"/>
                <w:szCs w:val="22"/>
              </w:rPr>
              <w:t>的时空演变</w:t>
            </w:r>
            <w:r>
              <w:rPr>
                <w:rFonts w:hint="eastAsia" w:eastAsia="仿宋_GB2312"/>
                <w:color w:val="000000"/>
                <w:sz w:val="28"/>
                <w:szCs w:val="22"/>
                <w:lang w:val="en-US" w:eastAsia="zh-CN"/>
              </w:rPr>
              <w:t>规律》研究报告。</w:t>
            </w:r>
          </w:p>
        </w:tc>
      </w:tr>
    </w:tbl>
    <w:p w14:paraId="4A177DBE">
      <w:pPr>
        <w:tabs>
          <w:tab w:val="left" w:pos="8640"/>
        </w:tabs>
        <w:adjustRightInd w:val="0"/>
        <w:snapToGrid w:val="0"/>
        <w:spacing w:line="560" w:lineRule="exact"/>
        <w:rPr>
          <w:rFonts w:hint="eastAsia" w:ascii="黑体" w:hAnsi="黑体" w:eastAsia="黑体" w:cs="黑体"/>
          <w:bCs/>
          <w:spacing w:val="6"/>
          <w:sz w:val="32"/>
          <w:szCs w:val="32"/>
        </w:rPr>
      </w:pPr>
      <w:bookmarkStart w:id="1" w:name="_GoBack"/>
      <w:r>
        <w:rPr>
          <w:rFonts w:hint="eastAsia" w:ascii="黑体" w:hAnsi="黑体" w:eastAsia="黑体" w:cs="黑体"/>
          <w:bCs/>
          <w:spacing w:val="6"/>
          <w:sz w:val="32"/>
          <w:szCs w:val="32"/>
        </w:rPr>
        <w:t>三、激励保障</w:t>
      </w:r>
    </w:p>
    <w:bookmarkEnd w:id="1"/>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3B2DC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484" w:hRule="atLeast"/>
          <w:jc w:val="center"/>
        </w:trPr>
        <w:tc>
          <w:tcPr>
            <w:tcW w:w="1815" w:type="dxa"/>
            <w:tcBorders>
              <w:tl2br w:val="nil"/>
              <w:tr2bl w:val="nil"/>
            </w:tcBorders>
            <w:shd w:val="clear" w:color="auto" w:fill="FFFFFF"/>
            <w:vAlign w:val="center"/>
          </w:tcPr>
          <w:p w14:paraId="3966167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eastAsia="zh-CN"/>
              </w:rPr>
            </w:pPr>
            <w:bookmarkStart w:id="0" w:name="OLE_LINK2"/>
            <w:r>
              <w:rPr>
                <w:rFonts w:hint="eastAsia" w:ascii="仿宋" w:hAnsi="仿宋" w:eastAsia="仿宋" w:cs="仿宋"/>
                <w:sz w:val="28"/>
                <w:szCs w:val="28"/>
                <w:lang w:val="en-US" w:eastAsia="zh-CN"/>
              </w:rPr>
              <w:t>资源支持</w:t>
            </w:r>
          </w:p>
        </w:tc>
        <w:tc>
          <w:tcPr>
            <w:tcW w:w="6689" w:type="dxa"/>
            <w:tcBorders>
              <w:tl2br w:val="nil"/>
              <w:tr2bl w:val="nil"/>
            </w:tcBorders>
            <w:shd w:val="clear" w:color="auto" w:fill="FFFFFF"/>
            <w:vAlign w:val="center"/>
          </w:tcPr>
          <w:p w14:paraId="379854D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1、国家社科基金资助；</w:t>
            </w:r>
          </w:p>
          <w:p w14:paraId="3022C46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2、亿量级专业数据支持；</w:t>
            </w:r>
          </w:p>
          <w:p w14:paraId="4AB95E5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3、宽松的工作环境；</w:t>
            </w:r>
          </w:p>
          <w:p w14:paraId="61FD857F">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4、丰厚的劳动回报；</w:t>
            </w:r>
          </w:p>
          <w:p w14:paraId="212CBFF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5、对于有数据处理能力，能够熟练使用stata等数据处理软件的，如没有成熟团队，可个人报名，由出题方进行团队组建。</w:t>
            </w:r>
          </w:p>
        </w:tc>
      </w:tr>
      <w:bookmarkEnd w:id="0"/>
    </w:tbl>
    <w:p w14:paraId="2B09BF00">
      <w:pPr>
        <w:tabs>
          <w:tab w:val="left" w:pos="8640"/>
        </w:tabs>
        <w:adjustRightInd w:val="0"/>
        <w:snapToGrid w:val="0"/>
        <w:spacing w:line="560" w:lineRule="exact"/>
        <w:rPr>
          <w:rFonts w:hint="default" w:ascii="黑体" w:hAnsi="黑体" w:eastAsia="黑体" w:cs="黑体"/>
          <w:bCs/>
          <w:spacing w:val="6"/>
          <w:sz w:val="32"/>
          <w:szCs w:val="32"/>
          <w:lang w:val="en-US" w:eastAsia="zh-CN"/>
        </w:rPr>
      </w:pPr>
      <w:r>
        <w:rPr>
          <w:rFonts w:hint="eastAsia" w:ascii="黑体" w:hAnsi="黑体" w:eastAsia="黑体" w:cs="黑体"/>
          <w:bCs/>
          <w:spacing w:val="6"/>
          <w:sz w:val="32"/>
          <w:szCs w:val="32"/>
          <w:lang w:val="en-US" w:eastAsia="zh-CN"/>
        </w:rPr>
        <w:t>四、提交方式</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6437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38C02B58">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提交时间</w:t>
            </w:r>
          </w:p>
        </w:tc>
        <w:tc>
          <w:tcPr>
            <w:tcW w:w="6689" w:type="dxa"/>
            <w:tcBorders>
              <w:tl2br w:val="nil"/>
              <w:tr2bl w:val="nil"/>
            </w:tcBorders>
            <w:shd w:val="clear" w:color="auto" w:fill="FFFFFF"/>
            <w:vAlign w:val="center"/>
          </w:tcPr>
          <w:p w14:paraId="6AE6DF08">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6月15日前，提交根据榜单要求设计对应实践方案</w:t>
            </w:r>
          </w:p>
          <w:p w14:paraId="0A1E76D2">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bCs/>
                <w:sz w:val="28"/>
                <w:szCs w:val="28"/>
                <w:lang w:val="en-US" w:eastAsia="zh-CN"/>
              </w:rPr>
              <w:t>注：此实践方案为遴选“挂帅”团队的重要材料</w:t>
            </w:r>
          </w:p>
        </w:tc>
      </w:tr>
      <w:tr w14:paraId="271B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4" w:hRule="atLeast"/>
          <w:jc w:val="center"/>
        </w:trPr>
        <w:tc>
          <w:tcPr>
            <w:tcW w:w="1815" w:type="dxa"/>
            <w:tcBorders>
              <w:tl2br w:val="nil"/>
              <w:tr2bl w:val="nil"/>
            </w:tcBorders>
            <w:shd w:val="clear" w:color="auto" w:fill="FFFFFF"/>
            <w:vAlign w:val="center"/>
          </w:tcPr>
          <w:p w14:paraId="42CAF90F">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提交邮箱</w:t>
            </w:r>
          </w:p>
        </w:tc>
        <w:tc>
          <w:tcPr>
            <w:tcW w:w="6689" w:type="dxa"/>
            <w:tcBorders>
              <w:tl2br w:val="nil"/>
              <w:tr2bl w:val="nil"/>
            </w:tcBorders>
            <w:shd w:val="clear" w:color="auto" w:fill="FFFFFF"/>
            <w:vAlign w:val="center"/>
          </w:tcPr>
          <w:p w14:paraId="30CDA0F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leeziang@126.com</w:t>
            </w:r>
          </w:p>
        </w:tc>
      </w:tr>
    </w:tbl>
    <w:p w14:paraId="0C6B82F3">
      <w:pPr>
        <w:tabs>
          <w:tab w:val="left" w:pos="8640"/>
        </w:tabs>
        <w:adjustRightInd w:val="0"/>
        <w:snapToGrid w:val="0"/>
        <w:spacing w:line="560" w:lineRule="exact"/>
        <w:rPr>
          <w:rFonts w:hint="default" w:ascii="方正楷体简体" w:hAnsi="方正楷体简体" w:eastAsia="方正楷体简体" w:cs="方正楷体简体"/>
          <w:lang w:val="en-US" w:eastAsia="zh-CN"/>
        </w:rPr>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FA7B9A-0704-4E34-B872-4771DC4F2D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2" w:fontKey="{AA15D8C9-9B2D-4D13-B45B-B8E5466C7DE7}"/>
  </w:font>
  <w:font w:name="方正黑体简体">
    <w:altName w:val="微软雅黑"/>
    <w:panose1 w:val="02010601030101010101"/>
    <w:charset w:val="86"/>
    <w:family w:val="auto"/>
    <w:pitch w:val="default"/>
    <w:sig w:usb0="00000000" w:usb1="00000000" w:usb2="00000010" w:usb3="00000000" w:csb0="00040000" w:csb1="00000000"/>
    <w:embedRegular r:id="rId3" w:fontKey="{5DE78FBF-A22D-4A25-8382-2D9761E40D1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EBAA1726-1C87-46C6-8DF7-1122580FB5F9}"/>
  </w:font>
  <w:font w:name="仿宋_GB2312">
    <w:altName w:val="仿宋"/>
    <w:panose1 w:val="02010609030101010101"/>
    <w:charset w:val="86"/>
    <w:family w:val="modern"/>
    <w:pitch w:val="default"/>
    <w:sig w:usb0="00000000" w:usb1="00000000" w:usb2="00000000" w:usb3="00000000" w:csb0="00040000" w:csb1="00000000"/>
    <w:embedRegular r:id="rId5" w:fontKey="{AA6032C4-A1C8-4E8F-8AE0-AA0B51D765D3}"/>
  </w:font>
  <w:font w:name="方正楷体简体">
    <w:altName w:val="宋体"/>
    <w:panose1 w:val="02000000000000000000"/>
    <w:charset w:val="86"/>
    <w:family w:val="auto"/>
    <w:pitch w:val="default"/>
    <w:sig w:usb0="00000000" w:usb1="00000000" w:usb2="00000000" w:usb3="00000000" w:csb0="00000000" w:csb1="00000000"/>
    <w:embedRegular r:id="rId6" w:fontKey="{C6C1A704-88EB-44A7-888F-D92D37D3F8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4EE0AE71">
        <w:pPr>
          <w:pStyle w:val="2"/>
          <w:jc w:val="center"/>
        </w:pPr>
        <w:r>
          <w:fldChar w:fldCharType="begin"/>
        </w:r>
        <w:r>
          <w:instrText xml:space="preserve">PAGE   \* MERGEFORMAT</w:instrText>
        </w:r>
        <w:r>
          <w:fldChar w:fldCharType="separate"/>
        </w:r>
        <w:r>
          <w:rPr>
            <w:lang w:val="zh-CN"/>
          </w:rPr>
          <w:t>4</w:t>
        </w:r>
        <w:r>
          <w:fldChar w:fldCharType="end"/>
        </w:r>
      </w:p>
    </w:sdtContent>
  </w:sdt>
  <w:p w14:paraId="1FC8ACB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FFA15"/>
    <w:multiLevelType w:val="singleLevel"/>
    <w:tmpl w:val="AA9FFA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ZTM5OTU0MmM2OTY1OWU4NzEyZWIyODMyNTc1ZTUifQ=="/>
  </w:docVars>
  <w:rsids>
    <w:rsidRoot w:val="008769E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4E86"/>
    <w:rsid w:val="005753FB"/>
    <w:rsid w:val="00577641"/>
    <w:rsid w:val="00580524"/>
    <w:rsid w:val="00585CAC"/>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F3C50"/>
    <w:rsid w:val="00EF5210"/>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6B96375"/>
    <w:rsid w:val="07463F1D"/>
    <w:rsid w:val="078F2493"/>
    <w:rsid w:val="0A8F7AAE"/>
    <w:rsid w:val="0B4A5469"/>
    <w:rsid w:val="0B6B3F04"/>
    <w:rsid w:val="0B6F69F0"/>
    <w:rsid w:val="0C645CC6"/>
    <w:rsid w:val="0C955B7E"/>
    <w:rsid w:val="0DCF4D92"/>
    <w:rsid w:val="0F78357E"/>
    <w:rsid w:val="107F47F9"/>
    <w:rsid w:val="10DB3A4D"/>
    <w:rsid w:val="12BE52B4"/>
    <w:rsid w:val="12E36BE9"/>
    <w:rsid w:val="13CA2B4E"/>
    <w:rsid w:val="15D942D4"/>
    <w:rsid w:val="189A4AC9"/>
    <w:rsid w:val="195A59BF"/>
    <w:rsid w:val="1A1667EC"/>
    <w:rsid w:val="1A9F551B"/>
    <w:rsid w:val="1AD27C6F"/>
    <w:rsid w:val="1C307CA7"/>
    <w:rsid w:val="1D09144A"/>
    <w:rsid w:val="1D431C97"/>
    <w:rsid w:val="1E504BF2"/>
    <w:rsid w:val="1F4F4772"/>
    <w:rsid w:val="1F762BAF"/>
    <w:rsid w:val="20375FAB"/>
    <w:rsid w:val="20672782"/>
    <w:rsid w:val="219E3794"/>
    <w:rsid w:val="22463DDE"/>
    <w:rsid w:val="23991047"/>
    <w:rsid w:val="23B107E7"/>
    <w:rsid w:val="23B940CE"/>
    <w:rsid w:val="242F1397"/>
    <w:rsid w:val="2604714B"/>
    <w:rsid w:val="26680B0E"/>
    <w:rsid w:val="276607BD"/>
    <w:rsid w:val="27C53DF3"/>
    <w:rsid w:val="2A85768A"/>
    <w:rsid w:val="2BC2788C"/>
    <w:rsid w:val="2D5072C9"/>
    <w:rsid w:val="2E020D89"/>
    <w:rsid w:val="2ED43E1F"/>
    <w:rsid w:val="2EF61F5F"/>
    <w:rsid w:val="2F204D2F"/>
    <w:rsid w:val="30280776"/>
    <w:rsid w:val="30D8752B"/>
    <w:rsid w:val="30FD3A6F"/>
    <w:rsid w:val="33020A40"/>
    <w:rsid w:val="347270AC"/>
    <w:rsid w:val="359C73A0"/>
    <w:rsid w:val="36160F00"/>
    <w:rsid w:val="36203B2D"/>
    <w:rsid w:val="397B56DC"/>
    <w:rsid w:val="3A5A5133"/>
    <w:rsid w:val="3BC02155"/>
    <w:rsid w:val="3BF7E6BF"/>
    <w:rsid w:val="3C4538F8"/>
    <w:rsid w:val="3CD975B2"/>
    <w:rsid w:val="3D7D1865"/>
    <w:rsid w:val="3ED27DBD"/>
    <w:rsid w:val="40504E9C"/>
    <w:rsid w:val="4185378C"/>
    <w:rsid w:val="436879E0"/>
    <w:rsid w:val="45A06791"/>
    <w:rsid w:val="47791038"/>
    <w:rsid w:val="49ED0155"/>
    <w:rsid w:val="4B9A1970"/>
    <w:rsid w:val="4B9A22C6"/>
    <w:rsid w:val="4D47054C"/>
    <w:rsid w:val="4E175B2C"/>
    <w:rsid w:val="4FD317B8"/>
    <w:rsid w:val="4FDF2564"/>
    <w:rsid w:val="50571C9F"/>
    <w:rsid w:val="50AB003F"/>
    <w:rsid w:val="52353A0A"/>
    <w:rsid w:val="560E14B9"/>
    <w:rsid w:val="597D2244"/>
    <w:rsid w:val="5A0D30B4"/>
    <w:rsid w:val="5B3429A4"/>
    <w:rsid w:val="5C146507"/>
    <w:rsid w:val="5C9D087A"/>
    <w:rsid w:val="5D35760E"/>
    <w:rsid w:val="5D5840D6"/>
    <w:rsid w:val="5F200A95"/>
    <w:rsid w:val="619135C2"/>
    <w:rsid w:val="62D04AAA"/>
    <w:rsid w:val="64126E1E"/>
    <w:rsid w:val="64C611F6"/>
    <w:rsid w:val="65F77B57"/>
    <w:rsid w:val="65FF3AA9"/>
    <w:rsid w:val="660F3D1F"/>
    <w:rsid w:val="66152ACA"/>
    <w:rsid w:val="68B44D24"/>
    <w:rsid w:val="6BDF6CC4"/>
    <w:rsid w:val="6CFC2C49"/>
    <w:rsid w:val="6DB5058A"/>
    <w:rsid w:val="70905002"/>
    <w:rsid w:val="70BB7C71"/>
    <w:rsid w:val="717935C8"/>
    <w:rsid w:val="71B400B8"/>
    <w:rsid w:val="72EF1566"/>
    <w:rsid w:val="73412F53"/>
    <w:rsid w:val="747947EB"/>
    <w:rsid w:val="748443E4"/>
    <w:rsid w:val="74F952E5"/>
    <w:rsid w:val="75483F2B"/>
    <w:rsid w:val="75A628C9"/>
    <w:rsid w:val="75B36462"/>
    <w:rsid w:val="76B27622"/>
    <w:rsid w:val="780A371A"/>
    <w:rsid w:val="784521A0"/>
    <w:rsid w:val="788D1579"/>
    <w:rsid w:val="7A6F2A3A"/>
    <w:rsid w:val="7BBB15F0"/>
    <w:rsid w:val="7C07A0F5"/>
    <w:rsid w:val="7C7E6484"/>
    <w:rsid w:val="7D460711"/>
    <w:rsid w:val="7D717185"/>
    <w:rsid w:val="7D7635FF"/>
    <w:rsid w:val="7E172803"/>
    <w:rsid w:val="7F207CC7"/>
    <w:rsid w:val="7F52447F"/>
    <w:rsid w:val="ADB3EDF9"/>
    <w:rsid w:val="B59DAF38"/>
    <w:rsid w:val="BFBAAF01"/>
    <w:rsid w:val="D6FDEFC2"/>
    <w:rsid w:val="DFDE7D33"/>
    <w:rsid w:val="FD7EF2D2"/>
    <w:rsid w:val="FDF5A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character" w:styleId="7">
    <w:name w:val="Strong"/>
    <w:qFormat/>
    <w:uiPriority w:val="0"/>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未处理的提及1"/>
    <w:basedOn w:val="6"/>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未处理的提及2"/>
    <w:basedOn w:val="6"/>
    <w:semiHidden/>
    <w:unhideWhenUsed/>
    <w:qFormat/>
    <w:uiPriority w:val="99"/>
    <w:rPr>
      <w:color w:val="605E5C"/>
      <w:shd w:val="clear" w:color="auto" w:fill="E1DFDD"/>
    </w:rPr>
  </w:style>
  <w:style w:type="character" w:customStyle="1" w:styleId="16">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913</Words>
  <Characters>959</Characters>
  <Lines>16</Lines>
  <Paragraphs>4</Paragraphs>
  <TotalTime>32</TotalTime>
  <ScaleCrop>false</ScaleCrop>
  <LinksUpToDate>false</LinksUpToDate>
  <CharactersWithSpaces>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2022-12-31T13:38:00Z</dcterms:created>
  <dc:creator>张 斌</dc:creator>
  <cp:lastModifiedBy>燕麦黄桃酸奶</cp:lastModifiedBy>
  <cp:lastPrinted>2023-01-11T03:09:00Z</cp:lastPrinted>
  <dcterms:modified xsi:type="dcterms:W3CDTF">2025-06-09T12:31:07Z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10496544F16D4D12903BE14C3226E783_13</vt:lpwstr>
  </property>
  <property fmtid="{D5CDD505-2E9C-101B-9397-08002B2CF9AE}" pid="4" name="KSOTemplateDocerSaveRecord">
    <vt:lpwstr>eyJoZGlkIjoiZDdmMjM5ZDA5M2VmMWQ2Mzg0MTI1Zjc5OWRiYjgxZDAiLCJ1c2VySWQiOiIyOTIxODI4NDMifQ==</vt:lpwstr>
  </property>
</Properties>
</file>